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Совет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РЕШЕНИЕ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24.07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.2023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softHyphen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softHyphen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softHyphen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softHyphen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softHyphen/>
        <w:t xml:space="preserve"> 99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с.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Об утверждении отчета об исполнении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бюджета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»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за  1 полугодие 2023 года.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Заслушав и обсудив информацию главы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Цыденова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Б.И. об  утверждении отчета об исполнении бюджета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» за  1 полугодие 2023 года, Совет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РЕШИЛ: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>Утвердить отчет об исполнении бюджета 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» за  1 полугодие 2023 года в полном объеме.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2.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>Настоящее решение вступает в силу с момента его подписания.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3.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ab/>
        <w:t>Настоящее решение обнародовать на информационном стенде и опубликовать на официальном сайте администрации.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Председатель Совета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сельского поселения «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                                   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Нагмитова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Б.Д. </w:t>
      </w: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206" w:rsidRPr="00EF58B2" w:rsidRDefault="00BA2206" w:rsidP="00BA2206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6"/>
    <w:rsid w:val="005566C5"/>
    <w:rsid w:val="00BA2206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6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06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2023-07-23T00:23:00Z</dcterms:created>
  <dcterms:modified xsi:type="dcterms:W3CDTF">2023-07-23T00:24:00Z</dcterms:modified>
</cp:coreProperties>
</file>